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AF62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EE719A" w:rsidRPr="002B3A70">
        <w:rPr>
          <w:rFonts w:ascii="Times New Roman" w:hAnsi="Times New Roman"/>
        </w:rPr>
        <w:t>OPTP-P</w:t>
      </w:r>
      <w:r w:rsidR="00EE719A">
        <w:rPr>
          <w:rFonts w:ascii="Times New Roman" w:hAnsi="Times New Roman"/>
        </w:rPr>
        <w:t>0</w:t>
      </w:r>
      <w:r w:rsidR="00EE719A" w:rsidRPr="002B3A70">
        <w:rPr>
          <w:rFonts w:ascii="Times New Roman" w:hAnsi="Times New Roman"/>
        </w:rPr>
        <w:t>1-SC</w:t>
      </w:r>
      <w:r w:rsidR="00AF42FD">
        <w:rPr>
          <w:rFonts w:ascii="Times New Roman" w:hAnsi="Times New Roman"/>
        </w:rPr>
        <w:t>1</w:t>
      </w:r>
      <w:r w:rsidR="00EE719A" w:rsidRPr="002B3A70">
        <w:rPr>
          <w:rFonts w:ascii="Times New Roman" w:hAnsi="Times New Roman"/>
        </w:rPr>
        <w:t>-2016-</w:t>
      </w:r>
      <w:r w:rsidR="00AF42FD">
        <w:rPr>
          <w:rFonts w:ascii="Times New Roman" w:hAnsi="Times New Roman"/>
        </w:rPr>
        <w:t>1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>na projekty technickej pomoci č. (kód) OPTP-P01-SC</w:t>
      </w:r>
      <w:r w:rsidR="00AF42FD">
        <w:rPr>
          <w:bCs/>
          <w:sz w:val="24"/>
          <w:szCs w:val="24"/>
        </w:rPr>
        <w:t>1</w:t>
      </w:r>
      <w:r w:rsidRPr="00DC4DD5">
        <w:rPr>
          <w:bCs/>
          <w:sz w:val="24"/>
          <w:szCs w:val="24"/>
        </w:rPr>
        <w:t>-2016</w:t>
      </w:r>
      <w:r>
        <w:rPr>
          <w:bCs/>
          <w:sz w:val="24"/>
          <w:szCs w:val="24"/>
        </w:rPr>
        <w:t>-</w:t>
      </w:r>
      <w:r w:rsidR="00AF42FD">
        <w:rPr>
          <w:bCs/>
          <w:sz w:val="24"/>
          <w:szCs w:val="24"/>
        </w:rPr>
        <w:t>1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AF42FD" w:rsidRPr="00741FA1">
        <w:rPr>
          <w:bCs/>
          <w:sz w:val="24"/>
          <w:szCs w:val="24"/>
        </w:rPr>
        <w:t xml:space="preserve">Refundácia miezd AK priamo zapojených do koordinácie </w:t>
      </w:r>
      <w:r w:rsidR="00270A67">
        <w:rPr>
          <w:bCs/>
          <w:sz w:val="24"/>
          <w:szCs w:val="24"/>
        </w:rPr>
        <w:br/>
      </w:r>
      <w:r w:rsidR="00AF42FD" w:rsidRPr="00741FA1">
        <w:rPr>
          <w:bCs/>
          <w:sz w:val="24"/>
          <w:szCs w:val="24"/>
        </w:rPr>
        <w:t>a riadenia EŠIF</w:t>
      </w:r>
      <w:r w:rsidR="003D3F2E">
        <w:rPr>
          <w:bCs/>
          <w:sz w:val="24"/>
          <w:szCs w:val="24"/>
        </w:rPr>
        <w:t xml:space="preserve"> 1</w:t>
      </w:r>
      <w:bookmarkStart w:id="0" w:name="_GoBack"/>
      <w:bookmarkEnd w:id="0"/>
      <w:r w:rsidR="00D95776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8B2146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2</w:t>
      </w:r>
      <w:r w:rsidR="008B2146">
        <w:rPr>
          <w:bCs/>
          <w:sz w:val="24"/>
          <w:szCs w:val="24"/>
        </w:rPr>
        <w:t>3</w:t>
      </w:r>
      <w:r w:rsidR="00AF42FD" w:rsidRPr="00741FA1">
        <w:rPr>
          <w:bCs/>
          <w:sz w:val="24"/>
          <w:szCs w:val="24"/>
        </w:rPr>
        <w:t>.</w:t>
      </w:r>
      <w:r w:rsidR="00917F26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2.</w:t>
      </w:r>
      <w:r w:rsidR="00917F26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627390" w:rsidRPr="00627390" w:rsidRDefault="00627390" w:rsidP="00627390">
      <w:pPr>
        <w:pStyle w:val="Odsekzoznamu1"/>
        <w:numPr>
          <w:ilvl w:val="0"/>
          <w:numId w:val="31"/>
        </w:numPr>
        <w:spacing w:before="240" w:after="240" w:line="276" w:lineRule="auto"/>
        <w:rPr>
          <w:b/>
        </w:rPr>
      </w:pP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V časti </w:t>
      </w:r>
      <w:r w:rsidRPr="00E946B8">
        <w:rPr>
          <w:rFonts w:asciiTheme="minorHAnsi" w:eastAsia="Times New Roman" w:hAnsiTheme="minorHAnsi"/>
          <w:b/>
          <w:bCs/>
          <w:i/>
          <w:sz w:val="22"/>
          <w:szCs w:val="22"/>
        </w:rPr>
        <w:t>1.3</w:t>
      </w: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 </w:t>
      </w:r>
      <w:r w:rsidRPr="00E946B8">
        <w:rPr>
          <w:rFonts w:asciiTheme="minorHAnsi" w:eastAsia="Times New Roman" w:hAnsiTheme="minorHAnsi"/>
          <w:b/>
          <w:bCs/>
          <w:i/>
          <w:sz w:val="22"/>
          <w:szCs w:val="22"/>
        </w:rPr>
        <w:t>Indikatívna výška finančných prostriedkov vyčlenených na vyzvanie (zdroje</w:t>
      </w:r>
      <w:r w:rsidRPr="00E946B8">
        <w:rPr>
          <w:b/>
        </w:rPr>
        <w:t xml:space="preserve"> </w:t>
      </w:r>
      <w:r w:rsidRPr="00E946B8">
        <w:rPr>
          <w:rFonts w:asciiTheme="minorHAnsi" w:eastAsia="Times New Roman" w:hAnsiTheme="minorHAnsi"/>
          <w:b/>
          <w:bCs/>
          <w:i/>
          <w:sz w:val="22"/>
          <w:szCs w:val="22"/>
        </w:rPr>
        <w:t>EÚ)</w:t>
      </w:r>
    </w:p>
    <w:p w:rsidR="00627390" w:rsidRPr="004D1F9F" w:rsidRDefault="00627390" w:rsidP="00627390">
      <w:pPr>
        <w:pStyle w:val="Odsekzoznamu"/>
        <w:numPr>
          <w:ilvl w:val="0"/>
          <w:numId w:val="31"/>
        </w:numPr>
        <w:spacing w:before="240" w:after="240"/>
        <w:jc w:val="both"/>
        <w:rPr>
          <w:rFonts w:asciiTheme="minorHAnsi" w:hAnsiTheme="minorHAnsi"/>
        </w:rPr>
      </w:pPr>
      <w:r w:rsidRPr="004D1F9F">
        <w:rPr>
          <w:rFonts w:asciiTheme="minorHAnsi" w:hAnsiTheme="minorHAnsi"/>
        </w:rPr>
        <w:t xml:space="preserve">Indikatívna výška zdrojov EÚ v rámci vyzvania je </w:t>
      </w:r>
      <w:r w:rsidRPr="004D1F9F">
        <w:rPr>
          <w:rFonts w:asciiTheme="minorHAnsi" w:hAnsiTheme="minorHAnsi"/>
          <w:b/>
        </w:rPr>
        <w:t>1</w:t>
      </w:r>
      <w:r w:rsidR="004D1F9F" w:rsidRPr="004D1F9F">
        <w:rPr>
          <w:rFonts w:asciiTheme="minorHAnsi" w:hAnsiTheme="minorHAnsi"/>
          <w:b/>
        </w:rPr>
        <w:t>9</w:t>
      </w:r>
      <w:r w:rsidRPr="004D1F9F">
        <w:rPr>
          <w:rFonts w:asciiTheme="minorHAnsi" w:hAnsiTheme="minorHAnsi"/>
          <w:b/>
        </w:rPr>
        <w:t> 490 000,00</w:t>
      </w:r>
      <w:r w:rsidRPr="004D1F9F">
        <w:rPr>
          <w:rFonts w:asciiTheme="minorHAnsi" w:hAnsiTheme="minorHAnsi"/>
        </w:rPr>
        <w:t xml:space="preserve"> €.</w:t>
      </w:r>
    </w:p>
    <w:p w:rsidR="00627390" w:rsidRPr="007F5132" w:rsidRDefault="00627390" w:rsidP="00627390">
      <w:pPr>
        <w:spacing w:before="240" w:after="240"/>
        <w:jc w:val="both"/>
        <w:rPr>
          <w:u w:val="single"/>
        </w:rPr>
      </w:pPr>
      <w:r w:rsidRPr="007F5132">
        <w:rPr>
          <w:u w:val="single"/>
        </w:rPr>
        <w:t xml:space="preserve">Zdôvodnenie zmeny:  </w:t>
      </w:r>
    </w:p>
    <w:p w:rsidR="00627390" w:rsidRPr="00627390" w:rsidRDefault="00627390" w:rsidP="00627390">
      <w:pPr>
        <w:spacing w:before="240" w:after="240"/>
        <w:jc w:val="both"/>
        <w:rPr>
          <w:i/>
        </w:rPr>
      </w:pPr>
      <w:r w:rsidRPr="007F5132">
        <w:rPr>
          <w:i/>
        </w:rPr>
        <w:t xml:space="preserve">Z dôvodu </w:t>
      </w:r>
      <w:r w:rsidR="007F5132" w:rsidRPr="007F5132">
        <w:rPr>
          <w:i/>
        </w:rPr>
        <w:t xml:space="preserve">zmeny právnych predpisov </w:t>
      </w:r>
      <w:r w:rsidR="007F5132">
        <w:rPr>
          <w:i/>
        </w:rPr>
        <w:t xml:space="preserve">(uznesenie vlády SR č. 181/2017, zmena zákona o štátnej službe a pod.) a </w:t>
      </w:r>
      <w:r w:rsidR="007F5132" w:rsidRPr="007F5132">
        <w:rPr>
          <w:i/>
        </w:rPr>
        <w:t xml:space="preserve">požiadavky zo strany oprávnených žiadateľov </w:t>
      </w:r>
      <w:r w:rsidR="007F5132">
        <w:rPr>
          <w:i/>
        </w:rPr>
        <w:t>pristúpil RO OP TP k</w:t>
      </w:r>
      <w:r w:rsidRPr="007F5132">
        <w:rPr>
          <w:i/>
        </w:rPr>
        <w:t xml:space="preserve"> navýš</w:t>
      </w:r>
      <w:r w:rsidR="007F5132">
        <w:rPr>
          <w:i/>
        </w:rPr>
        <w:t>eniu</w:t>
      </w:r>
      <w:r w:rsidRPr="007F5132">
        <w:rPr>
          <w:i/>
        </w:rPr>
        <w:t xml:space="preserve"> indikatívn</w:t>
      </w:r>
      <w:r w:rsidR="007F5132">
        <w:rPr>
          <w:i/>
        </w:rPr>
        <w:t>ej</w:t>
      </w:r>
      <w:r w:rsidRPr="007F5132">
        <w:rPr>
          <w:i/>
        </w:rPr>
        <w:t xml:space="preserve"> výšk</w:t>
      </w:r>
      <w:r w:rsidR="007F5132">
        <w:rPr>
          <w:i/>
        </w:rPr>
        <w:t>y</w:t>
      </w:r>
      <w:r w:rsidRPr="007F5132">
        <w:rPr>
          <w:i/>
        </w:rPr>
        <w:t xml:space="preserve"> finančných prostriedkov na vyzvanie vo </w:t>
      </w:r>
      <w:r w:rsidRPr="004D1F9F">
        <w:rPr>
          <w:i/>
        </w:rPr>
        <w:t xml:space="preserve">výške </w:t>
      </w:r>
      <w:r w:rsidR="004D1F9F" w:rsidRPr="004D1F9F">
        <w:rPr>
          <w:i/>
        </w:rPr>
        <w:t>1 00</w:t>
      </w:r>
      <w:r w:rsidRPr="004D1F9F">
        <w:rPr>
          <w:i/>
        </w:rPr>
        <w:t>0 000,00 €</w:t>
      </w:r>
      <w:r w:rsidRPr="007F5132">
        <w:rPr>
          <w:i/>
        </w:rPr>
        <w:t xml:space="preserve"> zo zdrojov EÚ </w:t>
      </w:r>
      <w:r w:rsidR="007F5132">
        <w:rPr>
          <w:i/>
        </w:rPr>
        <w:t>z</w:t>
      </w:r>
      <w:r w:rsidR="007F5132" w:rsidRPr="007F5132">
        <w:rPr>
          <w:i/>
        </w:rPr>
        <w:t>a účelom</w:t>
      </w:r>
      <w:r w:rsidRPr="007F5132">
        <w:rPr>
          <w:i/>
        </w:rPr>
        <w:t xml:space="preserve"> zabezpeč</w:t>
      </w:r>
      <w:r w:rsidR="007F5132" w:rsidRPr="007F5132">
        <w:rPr>
          <w:i/>
        </w:rPr>
        <w:t>enia</w:t>
      </w:r>
      <w:r w:rsidRPr="007F5132">
        <w:rPr>
          <w:i/>
        </w:rPr>
        <w:t xml:space="preserve"> dostat</w:t>
      </w:r>
      <w:r w:rsidR="007F5132" w:rsidRPr="007F5132">
        <w:rPr>
          <w:i/>
        </w:rPr>
        <w:t>ku</w:t>
      </w:r>
      <w:r w:rsidRPr="007F5132">
        <w:rPr>
          <w:i/>
        </w:rPr>
        <w:t xml:space="preserve"> voľnej alokácie, aby mohli byť schválené pripravované žiadosti o NFP.</w:t>
      </w:r>
    </w:p>
    <w:p w:rsidR="00627390" w:rsidRPr="00627390" w:rsidRDefault="00627390" w:rsidP="00627390">
      <w:pPr>
        <w:jc w:val="both"/>
        <w:rPr>
          <w:i/>
        </w:rPr>
      </w:pPr>
      <w:r w:rsidRPr="00627390">
        <w:rPr>
          <w:i/>
        </w:rPr>
        <w:t>-----------------------------------------------------------------------------------------------------------------------</w:t>
      </w:r>
    </w:p>
    <w:p w:rsidR="00627390" w:rsidRDefault="00627390" w:rsidP="001B1585">
      <w:pPr>
        <w:jc w:val="both"/>
        <w:rPr>
          <w:rFonts w:asciiTheme="minorHAnsi" w:hAnsiTheme="minorHAnsi"/>
          <w:bCs/>
        </w:rPr>
      </w:pPr>
    </w:p>
    <w:p w:rsidR="00587ACD" w:rsidRPr="00587ACD" w:rsidRDefault="00587ACD" w:rsidP="00587ACD">
      <w:pPr>
        <w:pStyle w:val="Odsekzoznamu1"/>
        <w:numPr>
          <w:ilvl w:val="0"/>
          <w:numId w:val="31"/>
        </w:numPr>
        <w:spacing w:before="240" w:after="240" w:line="276" w:lineRule="auto"/>
        <w:rPr>
          <w:rFonts w:asciiTheme="minorHAnsi" w:eastAsia="Times New Roman" w:hAnsiTheme="minorHAnsi"/>
          <w:bCs/>
          <w:i/>
          <w:sz w:val="22"/>
          <w:szCs w:val="22"/>
        </w:rPr>
      </w:pP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V časti </w:t>
      </w:r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>1.6 Miesto a spôsob podania ŽoNFP</w:t>
      </w:r>
    </w:p>
    <w:p w:rsidR="00AF621F" w:rsidRDefault="00AF621F" w:rsidP="00AF621F">
      <w:pPr>
        <w:pStyle w:val="Default"/>
        <w:ind w:firstLine="360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2B139F">
        <w:rPr>
          <w:rFonts w:asciiTheme="minorHAnsi" w:hAnsiTheme="minorHAnsi" w:cs="Times New Roman"/>
          <w:sz w:val="22"/>
          <w:szCs w:val="22"/>
        </w:rPr>
        <w:t>riadne, včas a v určenej forme:</w:t>
      </w:r>
      <w:r>
        <w:rPr>
          <w:sz w:val="23"/>
          <w:szCs w:val="23"/>
        </w:rPr>
        <w:t xml:space="preserve"> </w:t>
      </w:r>
    </w:p>
    <w:p w:rsidR="00AF621F" w:rsidRDefault="00AF621F" w:rsidP="00AF621F">
      <w:pPr>
        <w:pStyle w:val="Default"/>
        <w:ind w:firstLine="708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AF621F" w:rsidRDefault="00AF621F" w:rsidP="00AF621F">
      <w:pPr>
        <w:pStyle w:val="Odsekzoznamu"/>
        <w:spacing w:before="240" w:after="240"/>
        <w:ind w:left="0" w:firstLine="708"/>
        <w:jc w:val="both"/>
        <w:rPr>
          <w:rFonts w:asciiTheme="minorHAnsi" w:hAnsiTheme="minorHAnsi"/>
          <w:sz w:val="22"/>
          <w:szCs w:val="22"/>
        </w:rPr>
      </w:pPr>
      <w:r w:rsidRPr="002B139F">
        <w:rPr>
          <w:rFonts w:asciiTheme="minorHAnsi" w:hAnsiTheme="minorHAnsi"/>
          <w:b/>
          <w:sz w:val="22"/>
          <w:szCs w:val="22"/>
        </w:rPr>
        <w:t xml:space="preserve">a zároveň v </w:t>
      </w:r>
      <w:r>
        <w:rPr>
          <w:rFonts w:asciiTheme="minorHAnsi" w:hAnsiTheme="minorHAnsi"/>
          <w:b/>
          <w:sz w:val="22"/>
          <w:szCs w:val="22"/>
        </w:rPr>
        <w:t>listinnej</w:t>
      </w:r>
      <w:r w:rsidRPr="002B139F">
        <w:rPr>
          <w:rFonts w:asciiTheme="minorHAnsi" w:hAnsiTheme="minorHAnsi"/>
          <w:b/>
          <w:sz w:val="22"/>
          <w:szCs w:val="22"/>
        </w:rPr>
        <w:t xml:space="preserve"> podobe</w:t>
      </w:r>
      <w:r w:rsidRPr="002B139F">
        <w:rPr>
          <w:rFonts w:asciiTheme="minorHAnsi" w:hAnsiTheme="minorHAnsi"/>
          <w:sz w:val="22"/>
          <w:szCs w:val="22"/>
        </w:rPr>
        <w:t>, spolu so všetkými prílohami v jednom origináli (vytlačenom po odoslaní prostredníctvom ITMS2014+) a jednej kópii jedným z nasledovných spôsobov:</w:t>
      </w:r>
    </w:p>
    <w:p w:rsidR="00AF621F" w:rsidRPr="00FC0520" w:rsidRDefault="00AF621F" w:rsidP="00AF621F">
      <w:pPr>
        <w:pStyle w:val="Odsekzoznamu"/>
        <w:spacing w:before="240" w:after="240"/>
        <w:ind w:left="0" w:firstLine="708"/>
        <w:jc w:val="both"/>
      </w:pPr>
    </w:p>
    <w:p w:rsidR="00AF621F" w:rsidRPr="009446DF" w:rsidRDefault="00AF621F" w:rsidP="00AF621F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hAnsi="Calibri"/>
          <w:sz w:val="22"/>
          <w:szCs w:val="22"/>
        </w:rPr>
      </w:pPr>
      <w:r w:rsidRPr="009446DF">
        <w:rPr>
          <w:rFonts w:ascii="Calibri" w:hAnsi="Calibri"/>
          <w:sz w:val="22"/>
          <w:szCs w:val="22"/>
        </w:rPr>
        <w:t>doporučenou poštou alebo kuriérskou službou na adresu:</w:t>
      </w:r>
    </w:p>
    <w:p w:rsidR="00AF621F" w:rsidRPr="0062456D" w:rsidRDefault="00AF621F" w:rsidP="00AF621F">
      <w:pPr>
        <w:spacing w:after="0"/>
        <w:ind w:firstLine="357"/>
        <w:jc w:val="both"/>
      </w:pPr>
      <w:r w:rsidRPr="0062456D">
        <w:t>Úrad vlády S</w:t>
      </w:r>
      <w:r w:rsidRPr="00FC0520">
        <w:t>lovenskej republiky</w:t>
      </w:r>
      <w:r w:rsidRPr="0062456D">
        <w:t xml:space="preserve"> </w:t>
      </w:r>
    </w:p>
    <w:p w:rsidR="00AF621F" w:rsidRPr="0062456D" w:rsidRDefault="00AF621F" w:rsidP="00AF621F">
      <w:pPr>
        <w:spacing w:after="0"/>
        <w:ind w:firstLine="357"/>
        <w:jc w:val="both"/>
      </w:pPr>
      <w:r w:rsidRPr="0062456D">
        <w:t xml:space="preserve">sekcia operačných programov </w:t>
      </w:r>
    </w:p>
    <w:p w:rsidR="00AF621F" w:rsidRPr="0062456D" w:rsidRDefault="00AF621F" w:rsidP="00AF621F">
      <w:pPr>
        <w:spacing w:after="0"/>
        <w:ind w:firstLine="357"/>
        <w:jc w:val="both"/>
      </w:pPr>
      <w:r w:rsidRPr="00FC0520">
        <w:t>odbor implementácie projektov OP TP</w:t>
      </w:r>
    </w:p>
    <w:p w:rsidR="00AF621F" w:rsidRPr="0062456D" w:rsidRDefault="00AF621F" w:rsidP="00AF621F">
      <w:pPr>
        <w:spacing w:after="0"/>
        <w:ind w:firstLine="357"/>
        <w:jc w:val="both"/>
      </w:pPr>
      <w:r w:rsidRPr="0062456D">
        <w:lastRenderedPageBreak/>
        <w:t xml:space="preserve">Námestie slobody 1 </w:t>
      </w:r>
    </w:p>
    <w:p w:rsidR="00AF621F" w:rsidRPr="00FC0520" w:rsidRDefault="00AF621F" w:rsidP="00AF621F">
      <w:pPr>
        <w:spacing w:after="0"/>
        <w:ind w:firstLine="357"/>
        <w:jc w:val="both"/>
      </w:pPr>
      <w:r w:rsidRPr="0062456D">
        <w:t>813 70 Bratislava 15</w:t>
      </w:r>
    </w:p>
    <w:p w:rsidR="00AF621F" w:rsidRDefault="00AF621F" w:rsidP="00AF621F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AF621F" w:rsidRDefault="00AF621F" w:rsidP="00AF621F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</w:t>
      </w:r>
      <w:r>
        <w:rPr>
          <w:rFonts w:asciiTheme="minorHAnsi" w:hAnsiTheme="minorHAnsi"/>
          <w:sz w:val="22"/>
          <w:szCs w:val="22"/>
        </w:rPr>
        <w:t>00</w:t>
      </w:r>
      <w:r w:rsidRPr="009446DF">
        <w:rPr>
          <w:rFonts w:asciiTheme="minorHAnsi" w:hAnsiTheme="minorHAnsi"/>
          <w:sz w:val="22"/>
          <w:szCs w:val="22"/>
        </w:rPr>
        <w:t xml:space="preserve"> hod. do </w:t>
      </w:r>
      <w:r>
        <w:rPr>
          <w:rFonts w:asciiTheme="minorHAnsi" w:hAnsiTheme="minorHAnsi"/>
          <w:sz w:val="22"/>
          <w:szCs w:val="22"/>
        </w:rPr>
        <w:t>15.00</w:t>
      </w:r>
      <w:r w:rsidRPr="009446DF">
        <w:rPr>
          <w:rFonts w:asciiTheme="minorHAnsi" w:hAnsiTheme="minorHAnsi"/>
          <w:sz w:val="22"/>
          <w:szCs w:val="22"/>
        </w:rPr>
        <w:t xml:space="preserve"> hod. </w:t>
      </w:r>
      <w:r>
        <w:rPr>
          <w:rFonts w:asciiTheme="minorHAnsi" w:hAnsiTheme="minorHAnsi"/>
          <w:sz w:val="22"/>
          <w:szCs w:val="22"/>
        </w:rPr>
        <w:t>(obedňajšia prestávka 11.45-12.15 hod):</w:t>
      </w:r>
    </w:p>
    <w:p w:rsidR="00AF621F" w:rsidRPr="0062456D" w:rsidRDefault="00AF621F" w:rsidP="00AF621F">
      <w:pPr>
        <w:spacing w:after="0"/>
        <w:ind w:firstLine="357"/>
        <w:jc w:val="both"/>
      </w:pPr>
      <w:r>
        <w:t xml:space="preserve">podateľňa </w:t>
      </w:r>
      <w:r w:rsidRPr="0062456D">
        <w:t>Úrad</w:t>
      </w:r>
      <w:r>
        <w:t>u</w:t>
      </w:r>
      <w:r w:rsidRPr="0062456D">
        <w:t xml:space="preserve"> vlády S</w:t>
      </w:r>
      <w:r w:rsidRPr="00FC0520">
        <w:t>lovenskej republiky</w:t>
      </w:r>
      <w:r w:rsidRPr="0062456D">
        <w:t xml:space="preserve"> </w:t>
      </w:r>
    </w:p>
    <w:p w:rsidR="00AF621F" w:rsidRPr="0062456D" w:rsidRDefault="00AF621F" w:rsidP="00AF621F">
      <w:pPr>
        <w:spacing w:after="0"/>
        <w:ind w:firstLine="357"/>
        <w:jc w:val="both"/>
      </w:pPr>
      <w:r w:rsidRPr="0062456D">
        <w:t xml:space="preserve">Námestie slobody 1 </w:t>
      </w:r>
    </w:p>
    <w:p w:rsidR="00AF621F" w:rsidRPr="00FC0520" w:rsidRDefault="00AF621F" w:rsidP="00AF621F">
      <w:pPr>
        <w:spacing w:after="0"/>
        <w:ind w:firstLine="357"/>
        <w:jc w:val="both"/>
      </w:pPr>
      <w:r w:rsidRPr="0062456D">
        <w:t>813 70 Bratislava 15</w:t>
      </w:r>
    </w:p>
    <w:p w:rsidR="00AF621F" w:rsidRPr="009446DF" w:rsidRDefault="00AF621F" w:rsidP="00AF621F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8.30 hod. do 14.30 hod. na adresu:</w:t>
      </w:r>
    </w:p>
    <w:p w:rsidR="00AF621F" w:rsidRPr="0062456D" w:rsidRDefault="00AF621F" w:rsidP="00AF621F">
      <w:pPr>
        <w:spacing w:after="0"/>
        <w:ind w:firstLine="357"/>
        <w:jc w:val="both"/>
      </w:pPr>
      <w:r w:rsidRPr="00FC0520">
        <w:t>Úrad vlády Slovenskej republiky</w:t>
      </w:r>
    </w:p>
    <w:p w:rsidR="00AF621F" w:rsidRPr="0062456D" w:rsidRDefault="00AF621F" w:rsidP="00AF621F">
      <w:pPr>
        <w:spacing w:after="0"/>
        <w:ind w:firstLine="357"/>
        <w:jc w:val="both"/>
      </w:pPr>
      <w:r w:rsidRPr="0062456D">
        <w:t xml:space="preserve">sekcia operačných programov </w:t>
      </w:r>
    </w:p>
    <w:p w:rsidR="00AF621F" w:rsidRPr="00FC0520" w:rsidRDefault="00AF621F" w:rsidP="00AF621F">
      <w:pPr>
        <w:spacing w:after="0"/>
        <w:ind w:firstLine="357"/>
        <w:jc w:val="both"/>
      </w:pPr>
      <w:r w:rsidRPr="00FC0520">
        <w:t xml:space="preserve">odbor implementácie projektov OP TP </w:t>
      </w:r>
    </w:p>
    <w:p w:rsidR="00AF621F" w:rsidRPr="00FC0520" w:rsidRDefault="00AF621F" w:rsidP="00AF621F">
      <w:pPr>
        <w:spacing w:after="0"/>
        <w:ind w:firstLine="357"/>
        <w:jc w:val="both"/>
      </w:pPr>
      <w:r w:rsidRPr="00FC0520">
        <w:t>Radlinského 13</w:t>
      </w:r>
    </w:p>
    <w:p w:rsidR="00AF621F" w:rsidRPr="0062456D" w:rsidRDefault="00AF621F" w:rsidP="00AF621F">
      <w:pPr>
        <w:spacing w:after="0"/>
        <w:ind w:firstLine="357"/>
        <w:jc w:val="both"/>
      </w:pPr>
      <w:r w:rsidRPr="00FC0520">
        <w:t>Bratislava</w:t>
      </w:r>
    </w:p>
    <w:p w:rsidR="00AF621F" w:rsidRDefault="00AF621F" w:rsidP="00AF621F">
      <w:pPr>
        <w:spacing w:before="240" w:after="240"/>
        <w:ind w:firstLine="360"/>
        <w:jc w:val="both"/>
      </w:pPr>
      <w:r>
        <w:t>RO OP TP nie je oprávnený v zmysle v súčasnosti platných právnych prepisov obmedziť pre žiadateľov predkladanie ŽoNFP v listinnej podobe. V zmysle zákona o e-Governmente môže žiadateľ písomné doručenie ŽoNFP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www.slovensko.sk) do elektronickej schránky RO OP TP </w:t>
      </w:r>
      <w:r w:rsidR="00C053A1">
        <w:t>(špeciálna služba ÚV SR zriadená pre takéto podanie, v prípade ak táto služba ešte nie je zriadená, môže byť pre tento účel použitá služba „Všeobecnej agendy“)</w:t>
      </w:r>
      <w:r>
        <w:t>.</w:t>
      </w:r>
    </w:p>
    <w:p w:rsidR="00AF621F" w:rsidRPr="00D72F45" w:rsidRDefault="00AF621F" w:rsidP="00AF621F">
      <w:pPr>
        <w:spacing w:before="240" w:after="240"/>
        <w:ind w:firstLine="360"/>
        <w:jc w:val="both"/>
        <w:rPr>
          <w:rFonts w:asciiTheme="minorHAnsi" w:hAnsiTheme="minorHAnsi"/>
        </w:rPr>
      </w:pPr>
      <w:r w:rsidRPr="00D72F45">
        <w:rPr>
          <w:rFonts w:asciiTheme="minorHAnsi" w:hAnsiTheme="minorHAnsi"/>
        </w:rPr>
        <w:t>Žiadateľ postupuje pri predložení ŽoNFP do elektronickej schránky RO OP TP nasledovne:</w:t>
      </w:r>
    </w:p>
    <w:p w:rsidR="00AF621F" w:rsidRPr="00D72F45" w:rsidRDefault="00AF621F" w:rsidP="00AF621F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do termínu integrácie ITMS2014+ s Ústredným portálom verejnej správy žiadateľ odošle žiadosť o NFP, vrátane príloh prostredníctvom ITMS2014+, následne vygenerovaný pdf súbor ŽoNFP, už bez príloh, uloží do verzie PDF/A-1a, autorizuje ho kvalifikovaným elektronickým podpisom, kvalifikovaným elektronickým podpisom s mandátnym certifikátom alebo kvalifikovanou elektronickou pečaťou a odošle do elektronickej schránky RO OP TP;</w:t>
      </w:r>
    </w:p>
    <w:p w:rsidR="00AF621F" w:rsidRPr="00D72F45" w:rsidRDefault="00AF621F" w:rsidP="00AF621F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ŽoNFP bez príloh priamo z prostredia ITMS2014+ (podrobnejšie informácie po integrácii poskytne RO OP TP žiadateľom na webovom sídle RO OP TP ). </w:t>
      </w:r>
    </w:p>
    <w:p w:rsidR="00AF621F" w:rsidRPr="00D72F45" w:rsidRDefault="00AF621F" w:rsidP="00AF621F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Žiadateľ štandardne neautorizuje prílohy ŽoNFP, ale ich iba vloží do ITMS2014+. V  prípade prílohy Splnomocnenia osoby splnomocnenej zastupovať žiadateľa v konaní o ŽoNFP je potrebné doručiť prílohu ŽoNFP</w:t>
      </w:r>
      <w:r w:rsidRPr="00D72F45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D72F45">
        <w:rPr>
          <w:rFonts w:asciiTheme="minorHAnsi" w:hAnsiTheme="minorHAnsi"/>
          <w:sz w:val="22"/>
          <w:szCs w:val="22"/>
        </w:rPr>
        <w:t xml:space="preserve"> autorizovanú kvalifikovaným elektronickým podpisom, kvalifikovaným elektronickým podpisom s mandátnym certifikátom alebo kvalifikovanou elektronickou pečaťou do elektronickej schránky RO OP TP ). </w:t>
      </w:r>
    </w:p>
    <w:p w:rsidR="00AF621F" w:rsidRPr="00D72F45" w:rsidRDefault="00AF621F" w:rsidP="00AF621F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lastRenderedPageBreak/>
        <w:t xml:space="preserve">Aj v prípade, že žiadateľ predkladá ŽoNFP bez príloh výlučne elektronicky, je oprávnený doručiť vybrané prílohy ŽoNFP, ktoré nie sú dostupné v elektronickej podobe, resp. ich zaručená konverzia vykonaná postupom podľa § 36 zákona o e-Governmente do elektronickej podoby by neúmerne zaťažila žiadateľa, v listinnej podobe. V tomto prípade sa za dátum doručenia ŽoNFP bude považovať dátum, ktorý nastane neskôr; buď dátum doručenia ŽoNFP do elektronickej schránky RO alebo dátum podania/odovzdania listinnej prílohy ŽoNFP. </w:t>
      </w:r>
    </w:p>
    <w:p w:rsidR="00AF621F" w:rsidRPr="00D72F45" w:rsidRDefault="00AF621F" w:rsidP="00AF621F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V prípade, ak žiadateľ predloží ŽoNFP bez príloh elektronickým spôsobom a má aktivovanú elektronickú schránku, RO OP TP je povinný doručovať všetky rozhodnutia, vydané v konaní o ŽoNFP elektronicky, v súlade so zákonom o e-Governmente.</w:t>
      </w:r>
    </w:p>
    <w:p w:rsidR="00AF621F" w:rsidRPr="002B139F" w:rsidRDefault="00AF621F" w:rsidP="00AF621F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B139F">
        <w:rPr>
          <w:rFonts w:asciiTheme="minorHAnsi" w:hAnsiTheme="minorHAnsi" w:cs="Times New Roman"/>
          <w:sz w:val="22"/>
          <w:szCs w:val="22"/>
        </w:rPr>
        <w:t>Za písomné doručenie ŽoNFP, ako aj ďalších dokumentov v rámci konania o ŽoNFP, vyžadovaných podľa ustanovení Systému riadenia EŠIF sa v zmysle zákona o e-Governmente považuje aj doručenie ŽoNFP bez príloh, resp. ďalších dokumentov v rámci konania o ŽoNFP, autorizovaných kvalifikovaným elektronickým podpisom, kvalifikovaným elektronickým podpisom s mandátnym certifikátom alebo kvalifikovanou elektronickou pečaťou do elektronickej schránky RO OP TP.</w:t>
      </w:r>
    </w:p>
    <w:p w:rsidR="00AF621F" w:rsidRPr="00F75923" w:rsidRDefault="00AF621F" w:rsidP="00AF621F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AF621F" w:rsidRPr="00F75923" w:rsidRDefault="00AF621F" w:rsidP="00AF621F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AF621F" w:rsidRPr="00F75923" w:rsidRDefault="00AF621F" w:rsidP="00AF621F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AF621F" w:rsidRDefault="00AF621F" w:rsidP="00AF621F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AF621F" w:rsidRPr="00F75923" w:rsidRDefault="00AF621F" w:rsidP="00AF621F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>doručenia ŽoNFP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AF621F" w:rsidRDefault="00AF621F" w:rsidP="00AF621F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AF621F" w:rsidRDefault="00AF621F" w:rsidP="00AF621F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AF621F" w:rsidRPr="002B139F" w:rsidRDefault="00AF621F" w:rsidP="00AF621F">
      <w:pPr>
        <w:rPr>
          <w:lang w:eastAsia="sk-SK"/>
        </w:rPr>
      </w:pPr>
      <w:r w:rsidRPr="002D08EE">
        <w:rPr>
          <w:rFonts w:asciiTheme="minorHAnsi" w:hAnsiTheme="minorHAnsi"/>
        </w:rPr>
        <w:t>V prípade,</w:t>
      </w:r>
      <w:r>
        <w:rPr>
          <w:rFonts w:asciiTheme="minorHAnsi" w:hAnsiTheme="minorHAnsi"/>
        </w:rPr>
        <w:t xml:space="preserve"> že žiadosť o NFP podpisuje </w:t>
      </w:r>
      <w:r w:rsidRPr="004D3F96">
        <w:rPr>
          <w:rFonts w:asciiTheme="minorHAnsi" w:hAnsiTheme="minorHAnsi"/>
        </w:rPr>
        <w:t>v mene štatutára splnomocnená osoba</w:t>
      </w:r>
      <w:r>
        <w:rPr>
          <w:rFonts w:asciiTheme="minorHAnsi" w:hAnsiTheme="minorHAnsi"/>
        </w:rPr>
        <w:t>,</w:t>
      </w:r>
      <w:r w:rsidRPr="004D3F96">
        <w:rPr>
          <w:rFonts w:asciiTheme="minorHAnsi" w:hAnsiTheme="minorHAnsi"/>
        </w:rPr>
        <w:t xml:space="preserve"> je žiadateľ povinný predložiť spolu so žiadosťou o NFP aj </w:t>
      </w:r>
      <w:r>
        <w:rPr>
          <w:rFonts w:asciiTheme="minorHAnsi" w:hAnsiTheme="minorHAnsi"/>
        </w:rPr>
        <w:t>s</w:t>
      </w:r>
      <w:r w:rsidRPr="004D3F96">
        <w:rPr>
          <w:rFonts w:asciiTheme="minorHAnsi" w:hAnsiTheme="minorHAnsi"/>
        </w:rPr>
        <w:t>plnomoc</w:t>
      </w:r>
      <w:r>
        <w:rPr>
          <w:rFonts w:asciiTheme="minorHAnsi" w:hAnsiTheme="minorHAnsi"/>
        </w:rPr>
        <w:t>nenie</w:t>
      </w:r>
      <w:r w:rsidRPr="004D3F96">
        <w:rPr>
          <w:rFonts w:asciiTheme="minorHAnsi" w:hAnsiTheme="minorHAnsi"/>
        </w:rPr>
        <w:t xml:space="preserve"> na tento úkon.</w:t>
      </w:r>
    </w:p>
    <w:p w:rsidR="00AF621F" w:rsidRPr="00FC0520" w:rsidRDefault="00AF621F" w:rsidP="00AF621F">
      <w:pPr>
        <w:spacing w:before="240" w:after="240"/>
        <w:ind w:firstLine="360"/>
        <w:jc w:val="both"/>
      </w:pPr>
      <w:r w:rsidRPr="00FC0520">
        <w:t xml:space="preserve">V prípade, ak žiadateľ nepredloží žiadosť o NFP riadne, včas alebo v určenej forme, riadiaci orgán zastaví konanie vydaním rozhodnutia o zastavení konania o žiadosti o NFP. </w:t>
      </w:r>
    </w:p>
    <w:p w:rsidR="00AF621F" w:rsidRDefault="00AF621F" w:rsidP="00AF621F">
      <w:pPr>
        <w:jc w:val="both"/>
        <w:rPr>
          <w:rFonts w:asciiTheme="minorHAnsi" w:hAnsiTheme="minorHAnsi"/>
          <w:b/>
          <w:bCs/>
          <w:i/>
        </w:rPr>
      </w:pPr>
      <w:r w:rsidRPr="00FC0520">
        <w:lastRenderedPageBreak/>
        <w:t xml:space="preserve">Postup pri získavaní prístupu do verejnej časti ITMS2014+ je popísaný na webovom sídle </w:t>
      </w:r>
      <w:hyperlink r:id="rId8" w:history="1">
        <w:r w:rsidRPr="0062456D">
          <w:rPr>
            <w:u w:val="single"/>
          </w:rPr>
          <w:t>www.ITMS2014.sk</w:t>
        </w:r>
      </w:hyperlink>
      <w:r w:rsidRPr="00FC0520">
        <w:t xml:space="preserve"> v časti ČASTO KLADENÉ OTÁZKY (REGISTRÁCIA DO ITMS2014+).</w:t>
      </w:r>
    </w:p>
    <w:p w:rsidR="00AF621F" w:rsidRDefault="00AF621F" w:rsidP="00AF621F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AF621F" w:rsidRDefault="00AF621F" w:rsidP="00AF621F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>
        <w:rPr>
          <w:i/>
        </w:rPr>
        <w:t xml:space="preserve"> o e-Governmente </w:t>
      </w:r>
      <w:r w:rsidRPr="00030CB0">
        <w:rPr>
          <w:i/>
        </w:rPr>
        <w:t>je žiadateľ oprávnený predložiť žiadosť o NFP elektronicky, a to aj bez určenia tejto možnosti poskytovateľom vo v</w:t>
      </w:r>
      <w:r>
        <w:rPr>
          <w:i/>
        </w:rPr>
        <w:t>y</w:t>
      </w:r>
      <w:r w:rsidRPr="00030CB0">
        <w:rPr>
          <w:i/>
        </w:rPr>
        <w:t>zv</w:t>
      </w:r>
      <w:r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ŽoNFP vo všetkých</w:t>
      </w:r>
      <w:r>
        <w:rPr>
          <w:i/>
        </w:rPr>
        <w:t xml:space="preserve"> vyzvaniach, ktoré nie sú uzavreté </w:t>
      </w:r>
      <w:r w:rsidRPr="00030CB0">
        <w:rPr>
          <w:i/>
        </w:rPr>
        <w:t xml:space="preserve"> formou zverejnenia informácie o zmene </w:t>
      </w:r>
      <w:r>
        <w:rPr>
          <w:i/>
        </w:rPr>
        <w:t>vyzvania</w:t>
      </w:r>
      <w:r w:rsidRPr="00030CB0">
        <w:rPr>
          <w:i/>
        </w:rPr>
        <w:t xml:space="preserve"> na webovom sídle </w:t>
      </w:r>
      <w:r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ŽoNFP)</w:t>
      </w:r>
      <w:r>
        <w:rPr>
          <w:i/>
        </w:rPr>
        <w:t>.</w:t>
      </w:r>
    </w:p>
    <w:p w:rsidR="00AF621F" w:rsidRPr="00663983" w:rsidRDefault="00AF621F" w:rsidP="00AF621F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C0525C" w:rsidRDefault="00C0525C" w:rsidP="00C053A1">
      <w:pPr>
        <w:spacing w:after="0" w:line="240" w:lineRule="auto"/>
        <w:rPr>
          <w:i/>
        </w:rPr>
      </w:pPr>
      <w:r w:rsidRPr="00B92E05">
        <w:rPr>
          <w:i/>
        </w:rPr>
        <w:t xml:space="preserve"> </w:t>
      </w:r>
    </w:p>
    <w:p w:rsidR="00AF621F" w:rsidRPr="00A5652B" w:rsidRDefault="00AF621F" w:rsidP="00AF621F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A5652B">
        <w:rPr>
          <w:rFonts w:asciiTheme="minorHAnsi" w:hAnsiTheme="minorHAnsi"/>
          <w:bCs/>
          <w:i/>
          <w:sz w:val="22"/>
          <w:szCs w:val="22"/>
        </w:rPr>
        <w:t xml:space="preserve">V časti </w:t>
      </w:r>
      <w:r w:rsidRPr="00A5652B">
        <w:rPr>
          <w:rFonts w:asciiTheme="minorHAnsi" w:hAnsiTheme="minorHAnsi"/>
          <w:b/>
          <w:bCs/>
          <w:i/>
          <w:sz w:val="22"/>
          <w:szCs w:val="22"/>
        </w:rPr>
        <w:t>3. Overovanie podmienok poskytnutia príspevku a ďalšie informácie k vyzvaniu</w:t>
      </w:r>
    </w:p>
    <w:p w:rsidR="00AF621F" w:rsidRPr="0056566D" w:rsidRDefault="00AF621F" w:rsidP="00AF621F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AF621F" w:rsidRDefault="00AF621F" w:rsidP="00AF621F">
      <w:pPr>
        <w:spacing w:before="240" w:after="240"/>
        <w:ind w:firstLine="360"/>
        <w:jc w:val="both"/>
      </w:pPr>
      <w:r>
        <w:t>CKO priebežne integruje ITMS2014+ s inými informačnými systémami verejnej správy</w:t>
      </w:r>
      <w:r w:rsidRPr="0064560E">
        <w:rPr>
          <w:vertAlign w:val="superscript"/>
        </w:rPr>
        <w:footnoteReference w:id="2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AF621F" w:rsidRPr="00D56CE6" w:rsidRDefault="00AF621F" w:rsidP="00AF621F">
      <w:pPr>
        <w:spacing w:before="240" w:after="240"/>
        <w:ind w:firstLine="360"/>
        <w:jc w:val="both"/>
      </w:pPr>
      <w:r>
        <w:t xml:space="preserve">Žiadateľ má možnosť </w:t>
      </w:r>
      <w:r w:rsidRPr="0056566D">
        <w:rPr>
          <w:b/>
        </w:rPr>
        <w:t>ex-ante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ŽoNFP, ako súčasť predkladanej ŽoNFP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AF621F" w:rsidRPr="00393C22" w:rsidRDefault="00AF621F" w:rsidP="00AF621F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ŽoNFP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ŽoNFP elektronicky do elektronickej schránky RO OP TP, RO OP TP vyzýva žiadateľa v rámci konania o ŽoNFP rovnako elektronicky, do elektronickej schránky žiadateľa.</w:t>
      </w:r>
    </w:p>
    <w:p w:rsidR="00AF621F" w:rsidRPr="00AE1A6C" w:rsidRDefault="00AF621F" w:rsidP="00AF621F">
      <w:pPr>
        <w:spacing w:before="240" w:after="240"/>
        <w:ind w:firstLine="360"/>
        <w:jc w:val="both"/>
      </w:pPr>
      <w:r>
        <w:lastRenderedPageBreak/>
        <w:t>V prípade akýchkoľvek pochybností môže RO OP TP vyzvať žiadateľa na preukázanie splnenia podmienky poskytnutia príspevku, pričom v prípade nepreukázania podmienky zo strany žiadateľa rozhodne o zastavení konania o ŽoNFP.</w:t>
      </w:r>
    </w:p>
    <w:p w:rsidR="00AF621F" w:rsidRDefault="00AF621F" w:rsidP="00AF621F">
      <w:pPr>
        <w:spacing w:before="240" w:after="240"/>
        <w:ind w:firstLine="360"/>
        <w:jc w:val="both"/>
      </w:pPr>
      <w:r>
        <w:t>Podmienky poskytnutia príspevku, ktoré nie je možné overiť v elektronických verejných registroch, preukazuje žiadateľ najmä vložením skenu dokumentu vo formáte PDF (resp. v inom formáte dokumentu</w:t>
      </w:r>
      <w:r w:rsidRPr="0056566D">
        <w:footnoteReference w:id="3"/>
      </w:r>
      <w:r>
        <w:t>, ak ho vypracúva žiadateľ sám a nie je potrebné, aby bol úradne osvedčený/podpísaný, napr. rtf a pod.) do ITMS2014+ ako prílohu ŽoNFP.</w:t>
      </w:r>
    </w:p>
    <w:p w:rsidR="00AF621F" w:rsidRDefault="00AF621F" w:rsidP="00AF621F">
      <w:pPr>
        <w:autoSpaceDE w:val="0"/>
        <w:autoSpaceDN w:val="0"/>
        <w:adjustRightInd w:val="0"/>
        <w:spacing w:before="120" w:after="120"/>
        <w:ind w:firstLine="360"/>
        <w:jc w:val="both"/>
      </w:pPr>
      <w:r>
        <w:t>Pri dokumentoch, ktoré je v zmysle požiadavky RO OP TP žiadateľ povinný predložiť úradne osvedčené, môže žiadateľ zabezpečiť zaručenú konverziu dokumentu v súlade so zákonom o e-Governmente a vložiť ho do ITMS2014+ ako prílohu ŽoNFP.</w:t>
      </w:r>
    </w:p>
    <w:p w:rsidR="00C053A1" w:rsidRDefault="00C053A1" w:rsidP="00C053A1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C053A1" w:rsidRDefault="00C053A1" w:rsidP="00C053A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b/>
          <w:bCs/>
          <w:color w:val="000000"/>
          <w:u w:val="single"/>
        </w:rPr>
      </w:pPr>
      <w:r>
        <w:rPr>
          <w:i/>
        </w:rPr>
        <w:t xml:space="preserve">RO OP TP uvedenú časť </w:t>
      </w:r>
      <w:r w:rsidRPr="00DB42B1">
        <w:rPr>
          <w:i/>
          <w:u w:val="single"/>
        </w:rPr>
        <w:t>Overovanie podmienok poskytnutia príspevku</w:t>
      </w:r>
      <w:r>
        <w:rPr>
          <w:i/>
        </w:rPr>
        <w:t xml:space="preserve"> doplnil v nadväznosti na  Metodický výklad CKO č.4.</w:t>
      </w:r>
    </w:p>
    <w:p w:rsidR="00FD4669" w:rsidRDefault="00E946B8" w:rsidP="00E946B8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="00B92E05" w:rsidRPr="00B92E05">
        <w:rPr>
          <w:i/>
        </w:rPr>
        <w:t xml:space="preserve"> </w:t>
      </w:r>
    </w:p>
    <w:p w:rsidR="00C0525C" w:rsidRPr="00C053A1" w:rsidRDefault="00C0525C" w:rsidP="00C0525C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C053A1">
        <w:rPr>
          <w:rFonts w:asciiTheme="minorHAnsi" w:hAnsiTheme="minorHAnsi"/>
          <w:bCs/>
          <w:i/>
          <w:sz w:val="22"/>
          <w:szCs w:val="22"/>
        </w:rPr>
        <w:t xml:space="preserve">v časti </w:t>
      </w:r>
      <w:r w:rsidRPr="00C053A1">
        <w:rPr>
          <w:rFonts w:asciiTheme="minorHAnsi" w:hAnsiTheme="minorHAnsi"/>
          <w:b/>
          <w:bCs/>
          <w:i/>
          <w:sz w:val="22"/>
          <w:szCs w:val="22"/>
        </w:rPr>
        <w:t>5. Prílohy vyzvania</w:t>
      </w:r>
      <w:r w:rsidRPr="00C053A1">
        <w:rPr>
          <w:rFonts w:asciiTheme="minorHAnsi" w:hAnsiTheme="minorHAnsi"/>
          <w:bCs/>
          <w:i/>
          <w:sz w:val="22"/>
          <w:szCs w:val="22"/>
        </w:rPr>
        <w:t xml:space="preserve">  </w:t>
      </w:r>
    </w:p>
    <w:p w:rsidR="00C0525C" w:rsidRPr="00AF621F" w:rsidRDefault="00C0525C" w:rsidP="00C0525C">
      <w:pPr>
        <w:pStyle w:val="Odsekzoznamu"/>
        <w:ind w:left="1068"/>
        <w:jc w:val="both"/>
        <w:rPr>
          <w:rFonts w:asciiTheme="minorHAnsi" w:hAnsiTheme="minorHAnsi"/>
          <w:bCs/>
          <w:i/>
          <w:sz w:val="22"/>
          <w:szCs w:val="22"/>
          <w:highlight w:val="yellow"/>
        </w:rPr>
      </w:pPr>
    </w:p>
    <w:p w:rsidR="00C0525C" w:rsidRPr="00AF621F" w:rsidRDefault="00C0525C" w:rsidP="007A7714">
      <w:pPr>
        <w:jc w:val="both"/>
        <w:rPr>
          <w:rFonts w:asciiTheme="minorHAnsi" w:hAnsiTheme="minorHAnsi"/>
          <w:bCs/>
          <w:strike/>
        </w:rPr>
      </w:pPr>
      <w:r w:rsidRPr="00C053A1">
        <w:rPr>
          <w:rFonts w:asciiTheme="minorHAnsi" w:hAnsiTheme="minorHAnsi"/>
          <w:bCs/>
        </w:rPr>
        <w:t xml:space="preserve">Príloha č. 2 – Zoznam povinných merateľných ukazovateľov (vrátane iných údajov relevantných k HP) </w:t>
      </w:r>
      <w:r w:rsidR="00AF621F" w:rsidRPr="00C053A1">
        <w:rPr>
          <w:rFonts w:asciiTheme="minorHAnsi" w:hAnsiTheme="minorHAnsi"/>
          <w:bCs/>
        </w:rPr>
        <w:t>– aktualizovaná príloha</w:t>
      </w:r>
      <w:r w:rsidR="00C053A1" w:rsidRPr="00C053A1">
        <w:rPr>
          <w:rFonts w:asciiTheme="minorHAnsi" w:hAnsiTheme="minorHAnsi"/>
          <w:color w:val="000000"/>
        </w:rPr>
        <w:t xml:space="preserve"> </w:t>
      </w:r>
      <w:r w:rsidR="00C053A1">
        <w:rPr>
          <w:rFonts w:asciiTheme="minorHAnsi" w:hAnsiTheme="minorHAnsi"/>
          <w:color w:val="000000"/>
        </w:rPr>
        <w:t>o spôsob výpočtu ročných a kumulatívnych hodnôt</w:t>
      </w:r>
    </w:p>
    <w:p w:rsidR="00C0525C" w:rsidRPr="00741FA1" w:rsidRDefault="00C0525C" w:rsidP="00C0525C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C053A1" w:rsidRDefault="00C053A1" w:rsidP="00C053A1">
      <w:pPr>
        <w:jc w:val="both"/>
        <w:rPr>
          <w:i/>
        </w:rPr>
      </w:pPr>
      <w:r>
        <w:rPr>
          <w:i/>
        </w:rPr>
        <w:t xml:space="preserve">V nadväznosti na metodiku CKO boli do zoznamu merateľných ukazovateľov doplnené definície výpočtu ročných a kumulatívnych hodnôt ukazovateľov. </w:t>
      </w:r>
    </w:p>
    <w:p w:rsidR="00C0525C" w:rsidRPr="00767303" w:rsidRDefault="00C0525C" w:rsidP="00C0525C">
      <w:pPr>
        <w:spacing w:before="120"/>
        <w:jc w:val="both"/>
        <w:rPr>
          <w:i/>
        </w:rPr>
      </w:pPr>
    </w:p>
    <w:p w:rsidR="007A7714" w:rsidRDefault="007A7714" w:rsidP="007A7714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1B07A5" w:rsidRDefault="000C497E" w:rsidP="00E946B8">
      <w:pPr>
        <w:spacing w:before="240" w:after="240"/>
        <w:jc w:val="both"/>
        <w:rPr>
          <w:b/>
          <w:color w:val="000000"/>
        </w:rPr>
      </w:pPr>
      <w:r w:rsidRPr="000C497E">
        <w:rPr>
          <w:b/>
          <w:color w:val="000000"/>
        </w:rPr>
        <w:t>Uveden</w:t>
      </w:r>
      <w:r w:rsidR="00574CB1">
        <w:rPr>
          <w:b/>
          <w:color w:val="000000"/>
        </w:rPr>
        <w:t>á</w:t>
      </w:r>
      <w:r w:rsidRPr="000C497E">
        <w:rPr>
          <w:b/>
          <w:color w:val="000000"/>
        </w:rPr>
        <w:t xml:space="preserve"> zmen</w:t>
      </w:r>
      <w:r w:rsidR="00574CB1">
        <w:rPr>
          <w:b/>
          <w:color w:val="000000"/>
        </w:rPr>
        <w:t>a</w:t>
      </w:r>
      <w:r w:rsidRPr="000C497E">
        <w:rPr>
          <w:b/>
          <w:color w:val="000000"/>
        </w:rPr>
        <w:t xml:space="preserve"> nadobúda platnosť dňa: </w:t>
      </w:r>
      <w:r w:rsidR="00153C51" w:rsidRPr="00153C51">
        <w:rPr>
          <w:b/>
          <w:color w:val="000000"/>
        </w:rPr>
        <w:t>29</w:t>
      </w:r>
      <w:r w:rsidRPr="00153C51">
        <w:rPr>
          <w:b/>
          <w:color w:val="000000"/>
        </w:rPr>
        <w:t>.</w:t>
      </w:r>
      <w:r w:rsidR="00E20B76" w:rsidRPr="00153C51">
        <w:rPr>
          <w:b/>
          <w:color w:val="000000"/>
        </w:rPr>
        <w:t xml:space="preserve"> </w:t>
      </w:r>
      <w:r w:rsidR="00AF621F" w:rsidRPr="00153C51">
        <w:rPr>
          <w:b/>
          <w:color w:val="000000"/>
        </w:rPr>
        <w:t>5</w:t>
      </w:r>
      <w:r w:rsidRPr="00153C51">
        <w:rPr>
          <w:b/>
          <w:color w:val="000000"/>
        </w:rPr>
        <w:t>.</w:t>
      </w:r>
      <w:r w:rsidR="00E20B76" w:rsidRPr="00153C51">
        <w:rPr>
          <w:b/>
          <w:color w:val="000000"/>
        </w:rPr>
        <w:t xml:space="preserve"> </w:t>
      </w:r>
      <w:r w:rsidRPr="00153C51">
        <w:rPr>
          <w:b/>
          <w:color w:val="000000"/>
        </w:rPr>
        <w:t>201</w:t>
      </w:r>
      <w:r w:rsidR="00FB3AB0" w:rsidRPr="00153C51">
        <w:rPr>
          <w:b/>
          <w:color w:val="000000"/>
        </w:rPr>
        <w:t>7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9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7A7714" w:rsidRPr="00056C21" w:rsidRDefault="007A7714" w:rsidP="007A7714">
      <w:pPr>
        <w:spacing w:before="120"/>
        <w:jc w:val="both"/>
        <w:rPr>
          <w:rFonts w:asciiTheme="minorHAnsi" w:hAnsiTheme="minorHAnsi"/>
          <w:color w:val="000000"/>
        </w:rPr>
      </w:pPr>
      <w:r w:rsidRPr="00144148">
        <w:rPr>
          <w:rFonts w:asciiTheme="minorHAnsi" w:hAnsiTheme="minorHAnsi"/>
          <w:color w:val="000000"/>
          <w:u w:val="single"/>
        </w:rPr>
        <w:t xml:space="preserve">Príloha  – </w:t>
      </w:r>
      <w:r w:rsidRPr="00C0525C">
        <w:rPr>
          <w:rFonts w:asciiTheme="minorHAnsi" w:hAnsiTheme="minorHAnsi"/>
          <w:bCs/>
        </w:rPr>
        <w:t>Zoznam povinných merateľných ukazovateľov</w:t>
      </w:r>
      <w:r>
        <w:rPr>
          <w:rFonts w:asciiTheme="minorHAnsi" w:hAnsiTheme="minorHAnsi"/>
          <w:bCs/>
        </w:rPr>
        <w:t xml:space="preserve"> </w:t>
      </w:r>
      <w:r w:rsidRPr="00C0525C">
        <w:rPr>
          <w:rFonts w:asciiTheme="minorHAnsi" w:hAnsiTheme="minorHAnsi"/>
          <w:bCs/>
        </w:rPr>
        <w:t>(vrátane iných údajov relevantných k HP)</w:t>
      </w:r>
    </w:p>
    <w:p w:rsidR="003B3FFB" w:rsidRPr="00056C21" w:rsidRDefault="003B3FFB" w:rsidP="00B0119F">
      <w:pPr>
        <w:spacing w:before="120"/>
        <w:jc w:val="both"/>
        <w:rPr>
          <w:rFonts w:asciiTheme="minorHAnsi" w:hAnsiTheme="minorHAnsi"/>
          <w:color w:val="000000"/>
        </w:rPr>
      </w:pPr>
    </w:p>
    <w:sectPr w:rsidR="003B3FFB" w:rsidRPr="00056C21" w:rsidSect="00F4420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792" w:rsidRDefault="007E6792" w:rsidP="00784ECE">
      <w:pPr>
        <w:spacing w:after="0" w:line="240" w:lineRule="auto"/>
      </w:pPr>
      <w:r>
        <w:separator/>
      </w:r>
    </w:p>
  </w:endnote>
  <w:endnote w:type="continuationSeparator" w:id="0">
    <w:p w:rsidR="007E6792" w:rsidRDefault="007E6792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F2E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D131BD" wp14:editId="476E018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AF2FD7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3D077B" wp14:editId="5A54F46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792" w:rsidRDefault="007E6792" w:rsidP="00784ECE">
      <w:pPr>
        <w:spacing w:after="0" w:line="240" w:lineRule="auto"/>
      </w:pPr>
      <w:r>
        <w:separator/>
      </w:r>
    </w:p>
  </w:footnote>
  <w:footnote w:type="continuationSeparator" w:id="0">
    <w:p w:rsidR="007E6792" w:rsidRDefault="007E6792" w:rsidP="00784ECE">
      <w:pPr>
        <w:spacing w:after="0" w:line="240" w:lineRule="auto"/>
      </w:pPr>
      <w:r>
        <w:continuationSeparator/>
      </w:r>
    </w:p>
  </w:footnote>
  <w:footnote w:id="1">
    <w:p w:rsidR="00AF621F" w:rsidRDefault="00AF621F" w:rsidP="00AF621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Takéto prílohy musia spĺňať š</w:t>
      </w:r>
      <w:r>
        <w:rPr>
          <w:lang w:val="en-GB" w:eastAsia="en-GB"/>
        </w:rPr>
        <w:t xml:space="preserve">tandardy pre formáty elektronických dokumentov podpísateľných elektronickým podpisom v zmysle platného </w:t>
      </w:r>
      <w:r w:rsidRPr="00FB01E4">
        <w:t>Výnos</w:t>
      </w:r>
      <w:r>
        <w:t>u</w:t>
      </w:r>
      <w:r w:rsidRPr="00FB01E4">
        <w:t xml:space="preserve"> MF SR č. 55/2014 Z.</w:t>
      </w:r>
      <w:r>
        <w:t xml:space="preserve"> </w:t>
      </w:r>
      <w:r w:rsidRPr="00FB01E4">
        <w:t xml:space="preserve">z. </w:t>
      </w:r>
      <w:r>
        <w:rPr>
          <w:lang w:val="en-GB" w:eastAsia="en-GB"/>
        </w:rPr>
        <w:t>o štandardoch pre informačné systémy verejnej správy.</w:t>
      </w:r>
    </w:p>
  </w:footnote>
  <w:footnote w:id="2">
    <w:p w:rsidR="00AF621F" w:rsidRDefault="00AF621F" w:rsidP="00AF621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3">
    <w:p w:rsidR="00AF621F" w:rsidRDefault="00AF621F" w:rsidP="00AF621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FBA6F77" wp14:editId="1E52F6C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4456FFD"/>
    <w:multiLevelType w:val="hybridMultilevel"/>
    <w:tmpl w:val="63541D66"/>
    <w:lvl w:ilvl="0" w:tplc="B8ECDFA6">
      <w:numFmt w:val="bullet"/>
      <w:lvlText w:val="-"/>
      <w:lvlJc w:val="left"/>
      <w:pPr>
        <w:ind w:left="1211" w:hanging="360"/>
      </w:pPr>
      <w:rPr>
        <w:rFonts w:ascii="Calibri" w:eastAsia="Times New Roman" w:hAnsi="Calibri" w:cs="Times New Roman" w:hint="default"/>
        <w:b w:val="0"/>
        <w:i/>
        <w:sz w:val="22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 w15:restartNumberingAfterBreak="0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2"/>
  </w:num>
  <w:num w:numId="6">
    <w:abstractNumId w:val="10"/>
  </w:num>
  <w:num w:numId="7">
    <w:abstractNumId w:val="20"/>
  </w:num>
  <w:num w:numId="8">
    <w:abstractNumId w:val="31"/>
  </w:num>
  <w:num w:numId="9">
    <w:abstractNumId w:val="22"/>
  </w:num>
  <w:num w:numId="10">
    <w:abstractNumId w:val="19"/>
  </w:num>
  <w:num w:numId="11">
    <w:abstractNumId w:val="18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6"/>
  </w:num>
  <w:num w:numId="17">
    <w:abstractNumId w:val="24"/>
  </w:num>
  <w:num w:numId="18">
    <w:abstractNumId w:val="29"/>
  </w:num>
  <w:num w:numId="19">
    <w:abstractNumId w:val="8"/>
  </w:num>
  <w:num w:numId="20">
    <w:abstractNumId w:val="25"/>
  </w:num>
  <w:num w:numId="21">
    <w:abstractNumId w:val="9"/>
  </w:num>
  <w:num w:numId="22">
    <w:abstractNumId w:val="15"/>
  </w:num>
  <w:num w:numId="23">
    <w:abstractNumId w:val="21"/>
  </w:num>
  <w:num w:numId="24">
    <w:abstractNumId w:val="7"/>
  </w:num>
  <w:num w:numId="25">
    <w:abstractNumId w:val="14"/>
  </w:num>
  <w:num w:numId="26">
    <w:abstractNumId w:val="2"/>
  </w:num>
  <w:num w:numId="27">
    <w:abstractNumId w:val="30"/>
  </w:num>
  <w:num w:numId="28">
    <w:abstractNumId w:val="1"/>
  </w:num>
  <w:num w:numId="29">
    <w:abstractNumId w:val="17"/>
  </w:num>
  <w:num w:numId="30">
    <w:abstractNumId w:val="11"/>
  </w:num>
  <w:num w:numId="31">
    <w:abstractNumId w:val="13"/>
  </w:num>
  <w:num w:numId="32">
    <w:abstractNumId w:val="27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32161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44148"/>
    <w:rsid w:val="001508E8"/>
    <w:rsid w:val="00153C51"/>
    <w:rsid w:val="0016406A"/>
    <w:rsid w:val="00176021"/>
    <w:rsid w:val="001760A1"/>
    <w:rsid w:val="00182A12"/>
    <w:rsid w:val="00190281"/>
    <w:rsid w:val="001A48D2"/>
    <w:rsid w:val="001A4AA9"/>
    <w:rsid w:val="001B07A5"/>
    <w:rsid w:val="001B1585"/>
    <w:rsid w:val="001D1654"/>
    <w:rsid w:val="001D5E8A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42D54"/>
    <w:rsid w:val="002559EC"/>
    <w:rsid w:val="00261CB1"/>
    <w:rsid w:val="00270A67"/>
    <w:rsid w:val="002777A8"/>
    <w:rsid w:val="00286AE6"/>
    <w:rsid w:val="002952E1"/>
    <w:rsid w:val="00296481"/>
    <w:rsid w:val="002A5D16"/>
    <w:rsid w:val="002B3A70"/>
    <w:rsid w:val="002C5B67"/>
    <w:rsid w:val="002D161D"/>
    <w:rsid w:val="002F398A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319E"/>
    <w:rsid w:val="003950FD"/>
    <w:rsid w:val="003A2C31"/>
    <w:rsid w:val="003B136B"/>
    <w:rsid w:val="003B3942"/>
    <w:rsid w:val="003B3FFB"/>
    <w:rsid w:val="003B475A"/>
    <w:rsid w:val="003C1D64"/>
    <w:rsid w:val="003C2776"/>
    <w:rsid w:val="003C3A87"/>
    <w:rsid w:val="003D0883"/>
    <w:rsid w:val="003D3F2E"/>
    <w:rsid w:val="003E149B"/>
    <w:rsid w:val="003E73F1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91051"/>
    <w:rsid w:val="004941FF"/>
    <w:rsid w:val="00496D8C"/>
    <w:rsid w:val="004A3880"/>
    <w:rsid w:val="004A420E"/>
    <w:rsid w:val="004D1F9F"/>
    <w:rsid w:val="004F1AED"/>
    <w:rsid w:val="004F35ED"/>
    <w:rsid w:val="00520D75"/>
    <w:rsid w:val="005236E4"/>
    <w:rsid w:val="00547592"/>
    <w:rsid w:val="00555B34"/>
    <w:rsid w:val="00556BC9"/>
    <w:rsid w:val="0056690D"/>
    <w:rsid w:val="00574CB1"/>
    <w:rsid w:val="0058004C"/>
    <w:rsid w:val="00587ACD"/>
    <w:rsid w:val="00593B81"/>
    <w:rsid w:val="005B50DE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27390"/>
    <w:rsid w:val="006322F4"/>
    <w:rsid w:val="00634B7F"/>
    <w:rsid w:val="0064229B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12B25"/>
    <w:rsid w:val="00721923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A576A"/>
    <w:rsid w:val="007A7714"/>
    <w:rsid w:val="007B0FCE"/>
    <w:rsid w:val="007B7E50"/>
    <w:rsid w:val="007C40AA"/>
    <w:rsid w:val="007C4DA2"/>
    <w:rsid w:val="007E2B13"/>
    <w:rsid w:val="007E6792"/>
    <w:rsid w:val="007E7CA9"/>
    <w:rsid w:val="007E7DDB"/>
    <w:rsid w:val="007F5132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9359F"/>
    <w:rsid w:val="008A01C9"/>
    <w:rsid w:val="008A3A69"/>
    <w:rsid w:val="008A448C"/>
    <w:rsid w:val="008B1F86"/>
    <w:rsid w:val="008B2146"/>
    <w:rsid w:val="009125E4"/>
    <w:rsid w:val="00917F26"/>
    <w:rsid w:val="00930453"/>
    <w:rsid w:val="00942160"/>
    <w:rsid w:val="00943411"/>
    <w:rsid w:val="009446DF"/>
    <w:rsid w:val="00950120"/>
    <w:rsid w:val="00951FDB"/>
    <w:rsid w:val="00981E8D"/>
    <w:rsid w:val="00992988"/>
    <w:rsid w:val="009A02E9"/>
    <w:rsid w:val="009C2449"/>
    <w:rsid w:val="009D0DD2"/>
    <w:rsid w:val="009D6F6E"/>
    <w:rsid w:val="009F0023"/>
    <w:rsid w:val="00A10888"/>
    <w:rsid w:val="00A133E3"/>
    <w:rsid w:val="00A2390D"/>
    <w:rsid w:val="00A250D1"/>
    <w:rsid w:val="00A27BEC"/>
    <w:rsid w:val="00A3426C"/>
    <w:rsid w:val="00A356C4"/>
    <w:rsid w:val="00A5652B"/>
    <w:rsid w:val="00A64129"/>
    <w:rsid w:val="00A70824"/>
    <w:rsid w:val="00A7096E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AF621F"/>
    <w:rsid w:val="00B0119F"/>
    <w:rsid w:val="00B4267B"/>
    <w:rsid w:val="00B517DF"/>
    <w:rsid w:val="00B51B6F"/>
    <w:rsid w:val="00B534C5"/>
    <w:rsid w:val="00B66BB3"/>
    <w:rsid w:val="00B731F7"/>
    <w:rsid w:val="00B81AA1"/>
    <w:rsid w:val="00B822E1"/>
    <w:rsid w:val="00B92E05"/>
    <w:rsid w:val="00BA06FA"/>
    <w:rsid w:val="00BA2B9F"/>
    <w:rsid w:val="00BC5888"/>
    <w:rsid w:val="00BE48FD"/>
    <w:rsid w:val="00BE588D"/>
    <w:rsid w:val="00C02E58"/>
    <w:rsid w:val="00C0525C"/>
    <w:rsid w:val="00C053A1"/>
    <w:rsid w:val="00C13405"/>
    <w:rsid w:val="00C144C2"/>
    <w:rsid w:val="00C20634"/>
    <w:rsid w:val="00C21B1E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0CCC"/>
    <w:rsid w:val="00CF13BE"/>
    <w:rsid w:val="00CF428C"/>
    <w:rsid w:val="00CF549F"/>
    <w:rsid w:val="00D15FB0"/>
    <w:rsid w:val="00D16C26"/>
    <w:rsid w:val="00D365B7"/>
    <w:rsid w:val="00D6511F"/>
    <w:rsid w:val="00D77B6A"/>
    <w:rsid w:val="00D80C37"/>
    <w:rsid w:val="00D846A6"/>
    <w:rsid w:val="00D95256"/>
    <w:rsid w:val="00D95776"/>
    <w:rsid w:val="00DB0E80"/>
    <w:rsid w:val="00DC5798"/>
    <w:rsid w:val="00DC6870"/>
    <w:rsid w:val="00DD4A8C"/>
    <w:rsid w:val="00DE11D5"/>
    <w:rsid w:val="00DE151E"/>
    <w:rsid w:val="00DF361F"/>
    <w:rsid w:val="00E000AB"/>
    <w:rsid w:val="00E20B76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946B8"/>
    <w:rsid w:val="00EA3709"/>
    <w:rsid w:val="00EB5B9C"/>
    <w:rsid w:val="00ED3EDE"/>
    <w:rsid w:val="00ED7F00"/>
    <w:rsid w:val="00EE07C1"/>
    <w:rsid w:val="00EE719A"/>
    <w:rsid w:val="00EF02CC"/>
    <w:rsid w:val="00EF4219"/>
    <w:rsid w:val="00F048A3"/>
    <w:rsid w:val="00F1158C"/>
    <w:rsid w:val="00F14B1F"/>
    <w:rsid w:val="00F4420F"/>
    <w:rsid w:val="00F47EA2"/>
    <w:rsid w:val="00F50A6B"/>
    <w:rsid w:val="00F622D4"/>
    <w:rsid w:val="00F70989"/>
    <w:rsid w:val="00F875B0"/>
    <w:rsid w:val="00F97977"/>
    <w:rsid w:val="00FB04BF"/>
    <w:rsid w:val="00FB3AB0"/>
    <w:rsid w:val="00FB5F38"/>
    <w:rsid w:val="00FD097F"/>
    <w:rsid w:val="00FD4669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52A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AF621F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MS2014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optp.vlada.gov.s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647AE-492E-45EF-84AC-051FF8F4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2017-05-02T13:48:00Z</dcterms:created>
  <dcterms:modified xsi:type="dcterms:W3CDTF">2017-05-26T07:35:00Z</dcterms:modified>
</cp:coreProperties>
</file>